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4C74" w14:textId="3F96EC0F" w:rsidR="004D43E0" w:rsidRDefault="005E1C64" w:rsidP="00236A44">
      <w:pPr>
        <w:pStyle w:val="Heading1"/>
        <w:jc w:val="center"/>
        <w:rPr>
          <w:lang w:val="en-US"/>
        </w:rPr>
      </w:pPr>
      <w:bookmarkStart w:id="0" w:name="_GoBack"/>
      <w:bookmarkEnd w:id="0"/>
      <w:r>
        <w:rPr>
          <w:noProof/>
          <w:lang w:eastAsia="en-GB"/>
        </w:rPr>
        <w:drawing>
          <wp:anchor distT="0" distB="0" distL="114300" distR="114300" simplePos="0" relativeHeight="251658240" behindDoc="1" locked="0" layoutInCell="1" allowOverlap="1" wp14:anchorId="180BA4B8" wp14:editId="01CC5FD3">
            <wp:simplePos x="0" y="0"/>
            <wp:positionH relativeFrom="margin">
              <wp:align>left</wp:align>
            </wp:positionH>
            <wp:positionV relativeFrom="margin">
              <wp:align>top</wp:align>
            </wp:positionV>
            <wp:extent cx="476250" cy="47625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4D43E0">
        <w:rPr>
          <w:lang w:val="en-US"/>
        </w:rPr>
        <w:t xml:space="preserve">Restoring </w:t>
      </w:r>
      <w:proofErr w:type="spellStart"/>
      <w:r w:rsidR="004D43E0">
        <w:rPr>
          <w:lang w:val="en-US"/>
        </w:rPr>
        <w:t>Hardknott</w:t>
      </w:r>
      <w:proofErr w:type="spellEnd"/>
      <w:r w:rsidR="004D43E0">
        <w:rPr>
          <w:lang w:val="en-US"/>
        </w:rPr>
        <w:t xml:space="preserve"> Forest </w:t>
      </w:r>
      <w:r w:rsidR="00236A44">
        <w:rPr>
          <w:lang w:val="en-US"/>
        </w:rPr>
        <w:t xml:space="preserve">Phase 1 Habitat Survey </w:t>
      </w:r>
      <w:r w:rsidR="004D43E0">
        <w:rPr>
          <w:lang w:val="en-US"/>
        </w:rPr>
        <w:t>Summary</w:t>
      </w:r>
    </w:p>
    <w:p w14:paraId="08A5A418" w14:textId="4C67A7A3" w:rsidR="006D39FC" w:rsidRDefault="00236A44" w:rsidP="004D43E0">
      <w:pPr>
        <w:pStyle w:val="Heading2"/>
        <w:jc w:val="center"/>
        <w:rPr>
          <w:lang w:val="en-US"/>
        </w:rPr>
      </w:pPr>
      <w:r>
        <w:rPr>
          <w:lang w:val="en-US"/>
        </w:rPr>
        <w:t>Summer 2020</w:t>
      </w:r>
    </w:p>
    <w:p w14:paraId="34318D0B" w14:textId="4B2CFB1E" w:rsidR="004D43E0" w:rsidRDefault="004D43E0" w:rsidP="004D43E0">
      <w:pPr>
        <w:pStyle w:val="Heading3"/>
        <w:jc w:val="center"/>
        <w:rPr>
          <w:lang w:val="en-US"/>
        </w:rPr>
      </w:pPr>
      <w:r>
        <w:rPr>
          <w:lang w:val="en-US"/>
        </w:rPr>
        <w:t>Tasmin Fletcher (Project Assistant)</w:t>
      </w:r>
    </w:p>
    <w:p w14:paraId="5595E231" w14:textId="6965FA0A" w:rsidR="004D43E0" w:rsidRDefault="004D43E0" w:rsidP="004D43E0">
      <w:pPr>
        <w:rPr>
          <w:lang w:val="en-US"/>
        </w:rPr>
      </w:pPr>
    </w:p>
    <w:p w14:paraId="4A9F6CB9" w14:textId="5E04165A" w:rsidR="00F219AF" w:rsidRDefault="00F219AF" w:rsidP="00F219AF">
      <w:pPr>
        <w:pStyle w:val="Heading4"/>
        <w:rPr>
          <w:lang w:val="en-US"/>
        </w:rPr>
      </w:pPr>
      <w:r>
        <w:rPr>
          <w:lang w:val="en-US"/>
        </w:rPr>
        <w:t>Background and rationale</w:t>
      </w:r>
    </w:p>
    <w:p w14:paraId="6BED25DB" w14:textId="7A8C597C" w:rsidR="004D43E0" w:rsidRDefault="00F219AF" w:rsidP="004D43E0">
      <w:pPr>
        <w:rPr>
          <w:lang w:val="en-US"/>
        </w:rPr>
      </w:pPr>
      <w:proofErr w:type="spellStart"/>
      <w:r>
        <w:rPr>
          <w:lang w:val="en-US"/>
        </w:rPr>
        <w:t>Hardknott</w:t>
      </w:r>
      <w:proofErr w:type="spellEnd"/>
      <w:r>
        <w:rPr>
          <w:lang w:val="en-US"/>
        </w:rPr>
        <w:t xml:space="preserve"> Forest is a 635 hectare site </w:t>
      </w:r>
      <w:r w:rsidR="008931BE">
        <w:rPr>
          <w:lang w:val="en-US"/>
        </w:rPr>
        <w:t xml:space="preserve">managed by the University of Leeds in partnership with Forestry England. Since the 1930s the site has been primarily used as a softwood plantation, however in recent years, areas </w:t>
      </w:r>
      <w:r w:rsidR="002C4B3F">
        <w:rPr>
          <w:lang w:val="en-US"/>
        </w:rPr>
        <w:t>of</w:t>
      </w:r>
      <w:r w:rsidR="008931BE">
        <w:rPr>
          <w:lang w:val="en-US"/>
        </w:rPr>
        <w:t xml:space="preserve"> clear fell are </w:t>
      </w:r>
      <w:r w:rsidR="002C4B3F">
        <w:rPr>
          <w:lang w:val="en-US"/>
        </w:rPr>
        <w:t>regenerating</w:t>
      </w:r>
      <w:r w:rsidR="008931BE">
        <w:rPr>
          <w:lang w:val="en-US"/>
        </w:rPr>
        <w:t xml:space="preserve"> naturally, rather than being replanted for timber. Regenerated non-native tree species are being selectively removed to allow native species to establish across the site. </w:t>
      </w:r>
    </w:p>
    <w:p w14:paraId="17F406C5" w14:textId="5F6B5090" w:rsidR="00732EAE" w:rsidRDefault="008931BE" w:rsidP="004D43E0">
      <w:pPr>
        <w:rPr>
          <w:lang w:val="en-US"/>
        </w:rPr>
      </w:pPr>
      <w:r>
        <w:rPr>
          <w:lang w:val="en-US"/>
        </w:rPr>
        <w:t>Consequently, there is significant variation in habitat type across the sit</w:t>
      </w:r>
      <w:r w:rsidR="002C4B3F">
        <w:rPr>
          <w:lang w:val="en-US"/>
        </w:rPr>
        <w:t xml:space="preserve">e and </w:t>
      </w:r>
      <w:r>
        <w:rPr>
          <w:lang w:val="en-US"/>
        </w:rPr>
        <w:t xml:space="preserve">periods of change as areas are converted from softwood plantation to a native habitat mosaic. </w:t>
      </w:r>
      <w:r w:rsidR="004F2FD5">
        <w:rPr>
          <w:lang w:val="en-US"/>
        </w:rPr>
        <w:t>A habitat survey was</w:t>
      </w:r>
      <w:r>
        <w:rPr>
          <w:lang w:val="en-US"/>
        </w:rPr>
        <w:t xml:space="preserve"> deemed useful to gather information on the distribution of habitats across the site and to monitor how these change with time. </w:t>
      </w:r>
    </w:p>
    <w:p w14:paraId="335CCF11" w14:textId="0BFEF07A" w:rsidR="00732EAE" w:rsidRDefault="00732EAE" w:rsidP="00732EAE">
      <w:pPr>
        <w:pStyle w:val="Heading4"/>
        <w:rPr>
          <w:lang w:val="en-US"/>
        </w:rPr>
      </w:pPr>
      <w:r>
        <w:rPr>
          <w:lang w:val="en-US"/>
        </w:rPr>
        <w:t>Methodology</w:t>
      </w:r>
    </w:p>
    <w:p w14:paraId="58174976" w14:textId="7373779A" w:rsidR="007D48D2" w:rsidRDefault="00732EAE" w:rsidP="004D43E0">
      <w:pPr>
        <w:rPr>
          <w:lang w:val="en-US"/>
        </w:rPr>
      </w:pPr>
      <w:r>
        <w:rPr>
          <w:lang w:val="en-US"/>
        </w:rPr>
        <w:t xml:space="preserve">A Phase 1 Habitat Survey (P1HS) was considered </w:t>
      </w:r>
      <w:r w:rsidR="00C75AB3">
        <w:rPr>
          <w:lang w:val="en-US"/>
        </w:rPr>
        <w:t xml:space="preserve">suitable </w:t>
      </w:r>
      <w:r>
        <w:rPr>
          <w:lang w:val="en-US"/>
        </w:rPr>
        <w:t>for the site, due to the</w:t>
      </w:r>
      <w:r w:rsidR="007D48D2">
        <w:rPr>
          <w:lang w:val="en-US"/>
        </w:rPr>
        <w:t xml:space="preserve"> ability to survey relatively rapidly, </w:t>
      </w:r>
      <w:r w:rsidR="00C75AB3">
        <w:rPr>
          <w:lang w:val="en-US"/>
        </w:rPr>
        <w:t>whilst retaining</w:t>
      </w:r>
      <w:r w:rsidR="007D48D2">
        <w:rPr>
          <w:lang w:val="en-US"/>
        </w:rPr>
        <w:t xml:space="preserve"> sufficient</w:t>
      </w:r>
      <w:r>
        <w:rPr>
          <w:lang w:val="en-US"/>
        </w:rPr>
        <w:t xml:space="preserve"> accuracy</w:t>
      </w:r>
      <w:r w:rsidR="007D48D2">
        <w:rPr>
          <w:lang w:val="en-US"/>
        </w:rPr>
        <w:t xml:space="preserve"> </w:t>
      </w:r>
      <w:r w:rsidR="00C75AB3">
        <w:rPr>
          <w:lang w:val="en-US"/>
        </w:rPr>
        <w:t>for management applications.</w:t>
      </w:r>
    </w:p>
    <w:p w14:paraId="66BEF7EB" w14:textId="7FE2B3F6" w:rsidR="00732EAE" w:rsidRDefault="00732EAE" w:rsidP="004D43E0">
      <w:pPr>
        <w:rPr>
          <w:lang w:val="en-US"/>
        </w:rPr>
      </w:pPr>
      <w:r>
        <w:rPr>
          <w:lang w:val="en-US"/>
        </w:rPr>
        <w:t xml:space="preserve">The survey was conducted </w:t>
      </w:r>
      <w:r w:rsidR="007D48D2">
        <w:rPr>
          <w:lang w:val="en-US"/>
        </w:rPr>
        <w:t xml:space="preserve">following the guidelines found in the JNCC Handbook for Phase 1 habitat </w:t>
      </w:r>
      <w:proofErr w:type="gramStart"/>
      <w:r w:rsidR="007D48D2">
        <w:rPr>
          <w:lang w:val="en-US"/>
        </w:rPr>
        <w:t>survey</w:t>
      </w:r>
      <w:proofErr w:type="gramEnd"/>
      <w:r w:rsidR="007D48D2">
        <w:rPr>
          <w:lang w:val="en-US"/>
        </w:rPr>
        <w:t>.</w:t>
      </w:r>
      <w:r w:rsidR="00BF2F7F" w:rsidRPr="00BF2F7F">
        <w:rPr>
          <w:lang w:val="en-US"/>
        </w:rPr>
        <w:t xml:space="preserve"> </w:t>
      </w:r>
      <w:r w:rsidR="007D48D2">
        <w:rPr>
          <w:lang w:val="en-US"/>
        </w:rPr>
        <w:t xml:space="preserve">A </w:t>
      </w:r>
      <w:r>
        <w:rPr>
          <w:lang w:val="en-US"/>
        </w:rPr>
        <w:t xml:space="preserve">1:10,000 Ordnance Survey </w:t>
      </w:r>
      <w:proofErr w:type="spellStart"/>
      <w:r w:rsidR="003362B3">
        <w:rPr>
          <w:lang w:val="en-US"/>
        </w:rPr>
        <w:t>MasterMap</w:t>
      </w:r>
      <w:proofErr w:type="spellEnd"/>
      <w:r w:rsidR="007D48D2">
        <w:rPr>
          <w:lang w:val="en-US"/>
        </w:rPr>
        <w:t xml:space="preserve"> was used</w:t>
      </w:r>
      <w:r>
        <w:rPr>
          <w:lang w:val="en-US"/>
        </w:rPr>
        <w:t xml:space="preserve"> as a base</w:t>
      </w:r>
      <w:r w:rsidR="00C75AB3">
        <w:rPr>
          <w:lang w:val="en-US"/>
        </w:rPr>
        <w:t xml:space="preserve"> </w:t>
      </w:r>
      <w:r>
        <w:rPr>
          <w:lang w:val="en-US"/>
        </w:rPr>
        <w:t>map</w:t>
      </w:r>
      <w:r w:rsidR="00BF2F7F">
        <w:rPr>
          <w:lang w:val="en-US"/>
        </w:rPr>
        <w:t>, using a minimum mappable area of 0.1 ha. H</w:t>
      </w:r>
      <w:r w:rsidR="007D48D2">
        <w:rPr>
          <w:lang w:val="en-US"/>
        </w:rPr>
        <w:t>abitats were marked on field</w:t>
      </w:r>
      <w:r w:rsidR="00C75AB3">
        <w:rPr>
          <w:lang w:val="en-US"/>
        </w:rPr>
        <w:t xml:space="preserve"> </w:t>
      </w:r>
      <w:r w:rsidR="007D48D2">
        <w:rPr>
          <w:lang w:val="en-US"/>
        </w:rPr>
        <w:t>maps using the alphanumeric hierarchical codes given in the JNCC handbook</w:t>
      </w:r>
      <w:r w:rsidR="001F0541">
        <w:rPr>
          <w:lang w:val="en-US"/>
        </w:rPr>
        <w:t xml:space="preserve"> and target notes taken on the main plant or tree species found in each area.</w:t>
      </w:r>
    </w:p>
    <w:p w14:paraId="1FA38901" w14:textId="227164C3" w:rsidR="007D48D2" w:rsidRDefault="007D48D2" w:rsidP="004D43E0">
      <w:r w:rsidRPr="007D48D2">
        <w:t>The JNCC habitat codes for cate</w:t>
      </w:r>
      <w:r>
        <w:t>gories B-J were used as given in the handbook, however for category A (Woodland and scrub)</w:t>
      </w:r>
      <w:r w:rsidR="000134A8">
        <w:t xml:space="preserve">, the classification was adapted to include two additional levels to provide greater detail for use in future management of the site. </w:t>
      </w:r>
      <w:r w:rsidR="00686A58">
        <w:t xml:space="preserve">The additional Level 4 and Level 5 categories were estimated by eye during surveying on site. </w:t>
      </w:r>
      <w:r w:rsidR="000134A8">
        <w:t>The adapted classification for category A is given in Table 1.</w:t>
      </w:r>
      <w:r w:rsidR="006870F9">
        <w:t xml:space="preserve"> </w:t>
      </w:r>
      <w:r w:rsidR="00BF7A45">
        <w:t>Percentage canopy cover</w:t>
      </w:r>
      <w:r w:rsidR="006870F9">
        <w:t xml:space="preserve">, given in Level 4, refers to the area of open ground </w:t>
      </w:r>
      <w:r w:rsidR="00BF7A45">
        <w:t>not covered by foliage</w:t>
      </w:r>
      <w:r w:rsidR="006870F9">
        <w:t xml:space="preserve">, rather than the distance between </w:t>
      </w:r>
      <w:r w:rsidR="00BF7A45">
        <w:t xml:space="preserve">trunk </w:t>
      </w:r>
      <w:r w:rsidR="006870F9">
        <w:t>stems.</w:t>
      </w:r>
    </w:p>
    <w:tbl>
      <w:tblPr>
        <w:tblStyle w:val="TableGrid"/>
        <w:tblW w:w="0" w:type="auto"/>
        <w:tblLook w:val="04A0" w:firstRow="1" w:lastRow="0" w:firstColumn="1" w:lastColumn="0" w:noHBand="0" w:noVBand="1"/>
      </w:tblPr>
      <w:tblGrid>
        <w:gridCol w:w="329"/>
        <w:gridCol w:w="1406"/>
        <w:gridCol w:w="338"/>
        <w:gridCol w:w="1436"/>
        <w:gridCol w:w="328"/>
        <w:gridCol w:w="1647"/>
        <w:gridCol w:w="344"/>
        <w:gridCol w:w="1334"/>
        <w:gridCol w:w="346"/>
        <w:gridCol w:w="1508"/>
      </w:tblGrid>
      <w:tr w:rsidR="000134A8" w14:paraId="33EF1C96" w14:textId="77777777" w:rsidTr="00850B11">
        <w:tc>
          <w:tcPr>
            <w:tcW w:w="1735" w:type="dxa"/>
            <w:gridSpan w:val="2"/>
          </w:tcPr>
          <w:p w14:paraId="6A12BCE8" w14:textId="77777777" w:rsidR="000134A8" w:rsidRPr="006D1E65" w:rsidRDefault="000134A8" w:rsidP="00850B11">
            <w:pPr>
              <w:jc w:val="center"/>
              <w:rPr>
                <w:b/>
                <w:bCs/>
                <w:lang w:val="en-US"/>
              </w:rPr>
            </w:pPr>
            <w:r w:rsidRPr="006D1E65">
              <w:rPr>
                <w:b/>
                <w:bCs/>
                <w:lang w:val="en-US"/>
              </w:rPr>
              <w:t>Level 1</w:t>
            </w:r>
            <w:r>
              <w:rPr>
                <w:b/>
                <w:bCs/>
                <w:lang w:val="en-US"/>
              </w:rPr>
              <w:t>*</w:t>
            </w:r>
          </w:p>
        </w:tc>
        <w:tc>
          <w:tcPr>
            <w:tcW w:w="1774" w:type="dxa"/>
            <w:gridSpan w:val="2"/>
          </w:tcPr>
          <w:p w14:paraId="6BE5EDF0" w14:textId="77777777" w:rsidR="000134A8" w:rsidRPr="006D1E65" w:rsidRDefault="000134A8" w:rsidP="00850B11">
            <w:pPr>
              <w:jc w:val="center"/>
              <w:rPr>
                <w:b/>
                <w:bCs/>
                <w:lang w:val="en-US"/>
              </w:rPr>
            </w:pPr>
            <w:r w:rsidRPr="006D1E65">
              <w:rPr>
                <w:b/>
                <w:bCs/>
                <w:lang w:val="en-US"/>
              </w:rPr>
              <w:t>Level 2</w:t>
            </w:r>
          </w:p>
        </w:tc>
        <w:tc>
          <w:tcPr>
            <w:tcW w:w="1975" w:type="dxa"/>
            <w:gridSpan w:val="2"/>
          </w:tcPr>
          <w:p w14:paraId="6EE61256" w14:textId="77777777" w:rsidR="000134A8" w:rsidRPr="006D1E65" w:rsidRDefault="000134A8" w:rsidP="00850B11">
            <w:pPr>
              <w:jc w:val="center"/>
              <w:rPr>
                <w:b/>
                <w:bCs/>
                <w:lang w:val="en-US"/>
              </w:rPr>
            </w:pPr>
            <w:r w:rsidRPr="006D1E65">
              <w:rPr>
                <w:b/>
                <w:bCs/>
                <w:lang w:val="en-US"/>
              </w:rPr>
              <w:t>Level 3</w:t>
            </w:r>
          </w:p>
        </w:tc>
        <w:tc>
          <w:tcPr>
            <w:tcW w:w="1678" w:type="dxa"/>
            <w:gridSpan w:val="2"/>
          </w:tcPr>
          <w:p w14:paraId="0B5A5AB7" w14:textId="77777777" w:rsidR="000134A8" w:rsidRPr="006D1E65" w:rsidRDefault="000134A8" w:rsidP="00850B11">
            <w:pPr>
              <w:jc w:val="center"/>
              <w:rPr>
                <w:b/>
                <w:bCs/>
                <w:lang w:val="en-US"/>
              </w:rPr>
            </w:pPr>
            <w:r w:rsidRPr="006D1E65">
              <w:rPr>
                <w:b/>
                <w:bCs/>
                <w:lang w:val="en-US"/>
              </w:rPr>
              <w:t>Level 4</w:t>
            </w:r>
          </w:p>
        </w:tc>
        <w:tc>
          <w:tcPr>
            <w:tcW w:w="1854" w:type="dxa"/>
            <w:gridSpan w:val="2"/>
          </w:tcPr>
          <w:p w14:paraId="2456E07F" w14:textId="77777777" w:rsidR="000134A8" w:rsidRPr="006D1E65" w:rsidRDefault="000134A8" w:rsidP="00850B11">
            <w:pPr>
              <w:jc w:val="center"/>
              <w:rPr>
                <w:b/>
                <w:bCs/>
                <w:lang w:val="en-US"/>
              </w:rPr>
            </w:pPr>
            <w:r>
              <w:rPr>
                <w:b/>
                <w:bCs/>
                <w:lang w:val="en-US"/>
              </w:rPr>
              <w:t>Level 5</w:t>
            </w:r>
          </w:p>
        </w:tc>
      </w:tr>
      <w:tr w:rsidR="000134A8" w14:paraId="3A8E758C" w14:textId="77777777" w:rsidTr="00850B11">
        <w:tc>
          <w:tcPr>
            <w:tcW w:w="329" w:type="dxa"/>
          </w:tcPr>
          <w:p w14:paraId="77288606" w14:textId="77777777" w:rsidR="000134A8" w:rsidRDefault="000134A8" w:rsidP="00850B11">
            <w:pPr>
              <w:rPr>
                <w:lang w:val="en-US"/>
              </w:rPr>
            </w:pPr>
            <w:r>
              <w:rPr>
                <w:lang w:val="en-US"/>
              </w:rPr>
              <w:t>1</w:t>
            </w:r>
          </w:p>
        </w:tc>
        <w:tc>
          <w:tcPr>
            <w:tcW w:w="1406" w:type="dxa"/>
          </w:tcPr>
          <w:p w14:paraId="68AA84B8" w14:textId="77777777" w:rsidR="000134A8" w:rsidRDefault="000134A8" w:rsidP="00850B11">
            <w:pPr>
              <w:rPr>
                <w:lang w:val="en-US"/>
              </w:rPr>
            </w:pPr>
            <w:r>
              <w:rPr>
                <w:lang w:val="en-US"/>
              </w:rPr>
              <w:t>Woodland</w:t>
            </w:r>
          </w:p>
        </w:tc>
        <w:tc>
          <w:tcPr>
            <w:tcW w:w="338" w:type="dxa"/>
          </w:tcPr>
          <w:p w14:paraId="70B28073" w14:textId="77777777" w:rsidR="000134A8" w:rsidRDefault="000134A8" w:rsidP="00850B11">
            <w:pPr>
              <w:rPr>
                <w:lang w:val="en-US"/>
              </w:rPr>
            </w:pPr>
            <w:r>
              <w:rPr>
                <w:lang w:val="en-US"/>
              </w:rPr>
              <w:t>1</w:t>
            </w:r>
          </w:p>
        </w:tc>
        <w:tc>
          <w:tcPr>
            <w:tcW w:w="1436" w:type="dxa"/>
          </w:tcPr>
          <w:p w14:paraId="0AF6B46A" w14:textId="77777777" w:rsidR="000134A8" w:rsidRDefault="000134A8" w:rsidP="00850B11">
            <w:pPr>
              <w:rPr>
                <w:lang w:val="en-US"/>
              </w:rPr>
            </w:pPr>
            <w:r>
              <w:rPr>
                <w:lang w:val="en-US"/>
              </w:rPr>
              <w:t>Broadleaf</w:t>
            </w:r>
          </w:p>
          <w:p w14:paraId="35740B11" w14:textId="77777777" w:rsidR="000134A8" w:rsidRDefault="000134A8" w:rsidP="00850B11">
            <w:pPr>
              <w:rPr>
                <w:lang w:val="en-US"/>
              </w:rPr>
            </w:pPr>
            <w:r>
              <w:rPr>
                <w:lang w:val="en-US"/>
              </w:rPr>
              <w:t>(90-100% broadleaf)</w:t>
            </w:r>
          </w:p>
        </w:tc>
        <w:tc>
          <w:tcPr>
            <w:tcW w:w="328" w:type="dxa"/>
          </w:tcPr>
          <w:p w14:paraId="3FD96CBC" w14:textId="77777777" w:rsidR="000134A8" w:rsidRDefault="000134A8" w:rsidP="00850B11">
            <w:pPr>
              <w:rPr>
                <w:lang w:val="en-US"/>
              </w:rPr>
            </w:pPr>
            <w:r>
              <w:rPr>
                <w:lang w:val="en-US"/>
              </w:rPr>
              <w:t>1</w:t>
            </w:r>
          </w:p>
        </w:tc>
        <w:tc>
          <w:tcPr>
            <w:tcW w:w="1647" w:type="dxa"/>
          </w:tcPr>
          <w:p w14:paraId="132D2ECF" w14:textId="77777777" w:rsidR="000134A8" w:rsidRDefault="000134A8" w:rsidP="00850B11">
            <w:pPr>
              <w:rPr>
                <w:lang w:val="en-US"/>
              </w:rPr>
            </w:pPr>
            <w:r>
              <w:rPr>
                <w:lang w:val="en-US"/>
              </w:rPr>
              <w:t>Semi-natural (including self-regenerated)</w:t>
            </w:r>
          </w:p>
        </w:tc>
        <w:tc>
          <w:tcPr>
            <w:tcW w:w="344" w:type="dxa"/>
          </w:tcPr>
          <w:p w14:paraId="47696BC1" w14:textId="77777777" w:rsidR="000134A8" w:rsidRDefault="000134A8" w:rsidP="00850B11">
            <w:pPr>
              <w:rPr>
                <w:lang w:val="en-US"/>
              </w:rPr>
            </w:pPr>
            <w:r>
              <w:rPr>
                <w:lang w:val="en-US"/>
              </w:rPr>
              <w:t>1</w:t>
            </w:r>
          </w:p>
        </w:tc>
        <w:tc>
          <w:tcPr>
            <w:tcW w:w="1334" w:type="dxa"/>
          </w:tcPr>
          <w:p w14:paraId="32579990" w14:textId="77777777" w:rsidR="000134A8" w:rsidRDefault="000134A8" w:rsidP="00850B11">
            <w:pPr>
              <w:rPr>
                <w:lang w:val="en-US"/>
              </w:rPr>
            </w:pPr>
            <w:r>
              <w:rPr>
                <w:lang w:val="en-US"/>
              </w:rPr>
              <w:t>Scattered (&lt;30% tree cover)</w:t>
            </w:r>
          </w:p>
        </w:tc>
        <w:tc>
          <w:tcPr>
            <w:tcW w:w="346" w:type="dxa"/>
          </w:tcPr>
          <w:p w14:paraId="65AB09F8" w14:textId="77777777" w:rsidR="000134A8" w:rsidRDefault="000134A8" w:rsidP="00850B11">
            <w:pPr>
              <w:rPr>
                <w:lang w:val="en-US"/>
              </w:rPr>
            </w:pPr>
            <w:r>
              <w:rPr>
                <w:lang w:val="en-US"/>
              </w:rPr>
              <w:t>1</w:t>
            </w:r>
          </w:p>
        </w:tc>
        <w:tc>
          <w:tcPr>
            <w:tcW w:w="1508" w:type="dxa"/>
          </w:tcPr>
          <w:p w14:paraId="6DAA5512" w14:textId="77777777" w:rsidR="000134A8" w:rsidRDefault="000134A8" w:rsidP="00850B11">
            <w:pPr>
              <w:rPr>
                <w:lang w:val="en-US"/>
              </w:rPr>
            </w:pPr>
            <w:r>
              <w:rPr>
                <w:lang w:val="en-US"/>
              </w:rPr>
              <w:t>Up to 1m height</w:t>
            </w:r>
          </w:p>
        </w:tc>
      </w:tr>
      <w:tr w:rsidR="000134A8" w14:paraId="398E7DC6" w14:textId="77777777" w:rsidTr="00850B11">
        <w:tc>
          <w:tcPr>
            <w:tcW w:w="329" w:type="dxa"/>
          </w:tcPr>
          <w:p w14:paraId="064045D1" w14:textId="77777777" w:rsidR="000134A8" w:rsidRDefault="000134A8" w:rsidP="00850B11">
            <w:pPr>
              <w:rPr>
                <w:lang w:val="en-US"/>
              </w:rPr>
            </w:pPr>
            <w:r>
              <w:rPr>
                <w:lang w:val="en-US"/>
              </w:rPr>
              <w:t>2</w:t>
            </w:r>
          </w:p>
        </w:tc>
        <w:tc>
          <w:tcPr>
            <w:tcW w:w="1406" w:type="dxa"/>
          </w:tcPr>
          <w:p w14:paraId="6AC3211D" w14:textId="77777777" w:rsidR="000134A8" w:rsidRDefault="000134A8" w:rsidP="00850B11">
            <w:pPr>
              <w:rPr>
                <w:lang w:val="en-US"/>
              </w:rPr>
            </w:pPr>
            <w:r>
              <w:rPr>
                <w:lang w:val="en-US"/>
              </w:rPr>
              <w:t>Scrub</w:t>
            </w:r>
          </w:p>
        </w:tc>
        <w:tc>
          <w:tcPr>
            <w:tcW w:w="338" w:type="dxa"/>
          </w:tcPr>
          <w:p w14:paraId="5ADA4C98" w14:textId="77777777" w:rsidR="000134A8" w:rsidRDefault="000134A8" w:rsidP="00850B11">
            <w:pPr>
              <w:rPr>
                <w:lang w:val="en-US"/>
              </w:rPr>
            </w:pPr>
            <w:r>
              <w:rPr>
                <w:lang w:val="en-US"/>
              </w:rPr>
              <w:t>2</w:t>
            </w:r>
          </w:p>
        </w:tc>
        <w:tc>
          <w:tcPr>
            <w:tcW w:w="1436" w:type="dxa"/>
          </w:tcPr>
          <w:p w14:paraId="03B9551D" w14:textId="77777777" w:rsidR="000134A8" w:rsidRDefault="000134A8" w:rsidP="00850B11">
            <w:pPr>
              <w:rPr>
                <w:lang w:val="en-US"/>
              </w:rPr>
            </w:pPr>
            <w:r>
              <w:rPr>
                <w:lang w:val="en-US"/>
              </w:rPr>
              <w:t>Coniferous</w:t>
            </w:r>
          </w:p>
          <w:p w14:paraId="7802F09B" w14:textId="77777777" w:rsidR="000134A8" w:rsidRDefault="000134A8" w:rsidP="00850B11">
            <w:pPr>
              <w:rPr>
                <w:lang w:val="en-US"/>
              </w:rPr>
            </w:pPr>
            <w:r>
              <w:rPr>
                <w:lang w:val="en-US"/>
              </w:rPr>
              <w:t>(0-10% broadleaf)</w:t>
            </w:r>
          </w:p>
        </w:tc>
        <w:tc>
          <w:tcPr>
            <w:tcW w:w="328" w:type="dxa"/>
          </w:tcPr>
          <w:p w14:paraId="23D5578E" w14:textId="77777777" w:rsidR="000134A8" w:rsidRDefault="000134A8" w:rsidP="00850B11">
            <w:pPr>
              <w:rPr>
                <w:lang w:val="en-US"/>
              </w:rPr>
            </w:pPr>
            <w:r>
              <w:rPr>
                <w:lang w:val="en-US"/>
              </w:rPr>
              <w:t>2</w:t>
            </w:r>
          </w:p>
        </w:tc>
        <w:tc>
          <w:tcPr>
            <w:tcW w:w="1647" w:type="dxa"/>
          </w:tcPr>
          <w:p w14:paraId="4A8CB621" w14:textId="77777777" w:rsidR="000134A8" w:rsidRDefault="000134A8" w:rsidP="00850B11">
            <w:pPr>
              <w:rPr>
                <w:lang w:val="en-US"/>
              </w:rPr>
            </w:pPr>
            <w:r>
              <w:rPr>
                <w:lang w:val="en-US"/>
              </w:rPr>
              <w:t>Plantation</w:t>
            </w:r>
          </w:p>
        </w:tc>
        <w:tc>
          <w:tcPr>
            <w:tcW w:w="344" w:type="dxa"/>
          </w:tcPr>
          <w:p w14:paraId="1333FE23" w14:textId="77777777" w:rsidR="000134A8" w:rsidRDefault="000134A8" w:rsidP="00850B11">
            <w:pPr>
              <w:rPr>
                <w:lang w:val="en-US"/>
              </w:rPr>
            </w:pPr>
            <w:r>
              <w:rPr>
                <w:lang w:val="en-US"/>
              </w:rPr>
              <w:t>2</w:t>
            </w:r>
          </w:p>
        </w:tc>
        <w:tc>
          <w:tcPr>
            <w:tcW w:w="1334" w:type="dxa"/>
          </w:tcPr>
          <w:p w14:paraId="4CA938A4" w14:textId="77777777" w:rsidR="000134A8" w:rsidRDefault="000134A8" w:rsidP="00850B11">
            <w:pPr>
              <w:rPr>
                <w:lang w:val="en-US"/>
              </w:rPr>
            </w:pPr>
            <w:r>
              <w:rPr>
                <w:lang w:val="en-US"/>
              </w:rPr>
              <w:t>Medium (30-60% tree cover)</w:t>
            </w:r>
          </w:p>
        </w:tc>
        <w:tc>
          <w:tcPr>
            <w:tcW w:w="346" w:type="dxa"/>
          </w:tcPr>
          <w:p w14:paraId="12EEC0B3" w14:textId="77777777" w:rsidR="000134A8" w:rsidRDefault="000134A8" w:rsidP="00850B11">
            <w:pPr>
              <w:rPr>
                <w:lang w:val="en-US"/>
              </w:rPr>
            </w:pPr>
            <w:r>
              <w:rPr>
                <w:lang w:val="en-US"/>
              </w:rPr>
              <w:t>2</w:t>
            </w:r>
          </w:p>
        </w:tc>
        <w:tc>
          <w:tcPr>
            <w:tcW w:w="1508" w:type="dxa"/>
          </w:tcPr>
          <w:p w14:paraId="6C6353B0" w14:textId="77777777" w:rsidR="000134A8" w:rsidRDefault="000134A8" w:rsidP="00850B11">
            <w:pPr>
              <w:rPr>
                <w:lang w:val="en-US"/>
              </w:rPr>
            </w:pPr>
            <w:r>
              <w:rPr>
                <w:lang w:val="en-US"/>
              </w:rPr>
              <w:t>1-3m height</w:t>
            </w:r>
          </w:p>
        </w:tc>
      </w:tr>
      <w:tr w:rsidR="000134A8" w14:paraId="289C8495" w14:textId="77777777" w:rsidTr="00850B11">
        <w:tc>
          <w:tcPr>
            <w:tcW w:w="329" w:type="dxa"/>
          </w:tcPr>
          <w:p w14:paraId="2A7BF211" w14:textId="77777777" w:rsidR="000134A8" w:rsidRDefault="000134A8" w:rsidP="00850B11">
            <w:pPr>
              <w:rPr>
                <w:lang w:val="en-US"/>
              </w:rPr>
            </w:pPr>
          </w:p>
        </w:tc>
        <w:tc>
          <w:tcPr>
            <w:tcW w:w="1406" w:type="dxa"/>
          </w:tcPr>
          <w:p w14:paraId="7002478C" w14:textId="77777777" w:rsidR="000134A8" w:rsidRDefault="000134A8" w:rsidP="00850B11">
            <w:pPr>
              <w:rPr>
                <w:lang w:val="en-US"/>
              </w:rPr>
            </w:pPr>
          </w:p>
        </w:tc>
        <w:tc>
          <w:tcPr>
            <w:tcW w:w="338" w:type="dxa"/>
          </w:tcPr>
          <w:p w14:paraId="227FA9BE" w14:textId="77777777" w:rsidR="000134A8" w:rsidRDefault="000134A8" w:rsidP="00850B11">
            <w:pPr>
              <w:rPr>
                <w:lang w:val="en-US"/>
              </w:rPr>
            </w:pPr>
            <w:r>
              <w:rPr>
                <w:lang w:val="en-US"/>
              </w:rPr>
              <w:t>3</w:t>
            </w:r>
          </w:p>
        </w:tc>
        <w:tc>
          <w:tcPr>
            <w:tcW w:w="1436" w:type="dxa"/>
          </w:tcPr>
          <w:p w14:paraId="169F9673" w14:textId="77777777" w:rsidR="000134A8" w:rsidRDefault="000134A8" w:rsidP="00850B11">
            <w:pPr>
              <w:rPr>
                <w:lang w:val="en-US"/>
              </w:rPr>
            </w:pPr>
            <w:r>
              <w:rPr>
                <w:lang w:val="en-US"/>
              </w:rPr>
              <w:t xml:space="preserve">Mixed </w:t>
            </w:r>
          </w:p>
          <w:p w14:paraId="035B64A4" w14:textId="77777777" w:rsidR="000134A8" w:rsidRDefault="000134A8" w:rsidP="00850B11">
            <w:pPr>
              <w:rPr>
                <w:lang w:val="en-US"/>
              </w:rPr>
            </w:pPr>
            <w:r>
              <w:rPr>
                <w:lang w:val="en-US"/>
              </w:rPr>
              <w:t>(10-50% broadleaf)</w:t>
            </w:r>
          </w:p>
        </w:tc>
        <w:tc>
          <w:tcPr>
            <w:tcW w:w="328" w:type="dxa"/>
          </w:tcPr>
          <w:p w14:paraId="64309728" w14:textId="77777777" w:rsidR="000134A8" w:rsidRDefault="000134A8" w:rsidP="00850B11">
            <w:pPr>
              <w:rPr>
                <w:lang w:val="en-US"/>
              </w:rPr>
            </w:pPr>
          </w:p>
        </w:tc>
        <w:tc>
          <w:tcPr>
            <w:tcW w:w="1647" w:type="dxa"/>
          </w:tcPr>
          <w:p w14:paraId="3723C07C" w14:textId="77777777" w:rsidR="000134A8" w:rsidRDefault="000134A8" w:rsidP="00850B11">
            <w:pPr>
              <w:rPr>
                <w:lang w:val="en-US"/>
              </w:rPr>
            </w:pPr>
          </w:p>
        </w:tc>
        <w:tc>
          <w:tcPr>
            <w:tcW w:w="344" w:type="dxa"/>
          </w:tcPr>
          <w:p w14:paraId="719C1E8D" w14:textId="77777777" w:rsidR="000134A8" w:rsidRDefault="000134A8" w:rsidP="00850B11">
            <w:pPr>
              <w:rPr>
                <w:lang w:val="en-US"/>
              </w:rPr>
            </w:pPr>
            <w:r>
              <w:rPr>
                <w:lang w:val="en-US"/>
              </w:rPr>
              <w:t>3</w:t>
            </w:r>
          </w:p>
        </w:tc>
        <w:tc>
          <w:tcPr>
            <w:tcW w:w="1334" w:type="dxa"/>
          </w:tcPr>
          <w:p w14:paraId="0D4CE855" w14:textId="77777777" w:rsidR="000134A8" w:rsidRDefault="000134A8" w:rsidP="00850B11">
            <w:pPr>
              <w:rPr>
                <w:lang w:val="en-US"/>
              </w:rPr>
            </w:pPr>
            <w:r>
              <w:rPr>
                <w:lang w:val="en-US"/>
              </w:rPr>
              <w:t>Dense (&gt;60% tree cover)</w:t>
            </w:r>
          </w:p>
        </w:tc>
        <w:tc>
          <w:tcPr>
            <w:tcW w:w="346" w:type="dxa"/>
          </w:tcPr>
          <w:p w14:paraId="5A79C7F0" w14:textId="77777777" w:rsidR="000134A8" w:rsidRDefault="000134A8" w:rsidP="00850B11">
            <w:pPr>
              <w:rPr>
                <w:lang w:val="en-US"/>
              </w:rPr>
            </w:pPr>
            <w:r>
              <w:rPr>
                <w:lang w:val="en-US"/>
              </w:rPr>
              <w:t>3</w:t>
            </w:r>
          </w:p>
        </w:tc>
        <w:tc>
          <w:tcPr>
            <w:tcW w:w="1508" w:type="dxa"/>
          </w:tcPr>
          <w:p w14:paraId="0CF831D6" w14:textId="77777777" w:rsidR="000134A8" w:rsidRDefault="000134A8" w:rsidP="00850B11">
            <w:pPr>
              <w:rPr>
                <w:lang w:val="en-US"/>
              </w:rPr>
            </w:pPr>
            <w:r>
              <w:rPr>
                <w:lang w:val="en-US"/>
              </w:rPr>
              <w:t>3-5m height</w:t>
            </w:r>
          </w:p>
        </w:tc>
      </w:tr>
      <w:tr w:rsidR="000134A8" w14:paraId="2FD5EE1C" w14:textId="77777777" w:rsidTr="00850B11">
        <w:tc>
          <w:tcPr>
            <w:tcW w:w="329" w:type="dxa"/>
          </w:tcPr>
          <w:p w14:paraId="1797178E" w14:textId="77777777" w:rsidR="000134A8" w:rsidRDefault="000134A8" w:rsidP="00850B11">
            <w:pPr>
              <w:rPr>
                <w:lang w:val="en-US"/>
              </w:rPr>
            </w:pPr>
          </w:p>
        </w:tc>
        <w:tc>
          <w:tcPr>
            <w:tcW w:w="1406" w:type="dxa"/>
          </w:tcPr>
          <w:p w14:paraId="1A6F6ABF" w14:textId="77777777" w:rsidR="000134A8" w:rsidRDefault="000134A8" w:rsidP="00850B11">
            <w:pPr>
              <w:rPr>
                <w:lang w:val="en-US"/>
              </w:rPr>
            </w:pPr>
          </w:p>
        </w:tc>
        <w:tc>
          <w:tcPr>
            <w:tcW w:w="338" w:type="dxa"/>
          </w:tcPr>
          <w:p w14:paraId="3F5ED1CA" w14:textId="77777777" w:rsidR="000134A8" w:rsidRDefault="000134A8" w:rsidP="00850B11">
            <w:pPr>
              <w:rPr>
                <w:lang w:val="en-US"/>
              </w:rPr>
            </w:pPr>
            <w:r>
              <w:rPr>
                <w:lang w:val="en-US"/>
              </w:rPr>
              <w:t>4</w:t>
            </w:r>
          </w:p>
        </w:tc>
        <w:tc>
          <w:tcPr>
            <w:tcW w:w="1436" w:type="dxa"/>
          </w:tcPr>
          <w:p w14:paraId="33A31943" w14:textId="77777777" w:rsidR="000134A8" w:rsidRDefault="000134A8" w:rsidP="00850B11">
            <w:pPr>
              <w:rPr>
                <w:lang w:val="en-US"/>
              </w:rPr>
            </w:pPr>
            <w:r>
              <w:rPr>
                <w:lang w:val="en-US"/>
              </w:rPr>
              <w:t>Mixed (50-90% broadleaf)</w:t>
            </w:r>
          </w:p>
        </w:tc>
        <w:tc>
          <w:tcPr>
            <w:tcW w:w="328" w:type="dxa"/>
          </w:tcPr>
          <w:p w14:paraId="130CE1E1" w14:textId="77777777" w:rsidR="000134A8" w:rsidRDefault="000134A8" w:rsidP="00850B11">
            <w:pPr>
              <w:rPr>
                <w:lang w:val="en-US"/>
              </w:rPr>
            </w:pPr>
          </w:p>
        </w:tc>
        <w:tc>
          <w:tcPr>
            <w:tcW w:w="1647" w:type="dxa"/>
          </w:tcPr>
          <w:p w14:paraId="7042339A" w14:textId="77777777" w:rsidR="000134A8" w:rsidRDefault="000134A8" w:rsidP="00850B11">
            <w:pPr>
              <w:rPr>
                <w:lang w:val="en-US"/>
              </w:rPr>
            </w:pPr>
          </w:p>
        </w:tc>
        <w:tc>
          <w:tcPr>
            <w:tcW w:w="344" w:type="dxa"/>
          </w:tcPr>
          <w:p w14:paraId="36C283FF" w14:textId="77777777" w:rsidR="000134A8" w:rsidRDefault="000134A8" w:rsidP="00850B11">
            <w:pPr>
              <w:rPr>
                <w:lang w:val="en-US"/>
              </w:rPr>
            </w:pPr>
          </w:p>
        </w:tc>
        <w:tc>
          <w:tcPr>
            <w:tcW w:w="1334" w:type="dxa"/>
          </w:tcPr>
          <w:p w14:paraId="5F4E9A96" w14:textId="77777777" w:rsidR="000134A8" w:rsidRDefault="000134A8" w:rsidP="00850B11">
            <w:pPr>
              <w:rPr>
                <w:lang w:val="en-US"/>
              </w:rPr>
            </w:pPr>
          </w:p>
        </w:tc>
        <w:tc>
          <w:tcPr>
            <w:tcW w:w="346" w:type="dxa"/>
          </w:tcPr>
          <w:p w14:paraId="658D5B3C" w14:textId="77777777" w:rsidR="000134A8" w:rsidRDefault="000134A8" w:rsidP="00850B11">
            <w:pPr>
              <w:rPr>
                <w:lang w:val="en-US"/>
              </w:rPr>
            </w:pPr>
            <w:r>
              <w:rPr>
                <w:lang w:val="en-US"/>
              </w:rPr>
              <w:t>4</w:t>
            </w:r>
          </w:p>
        </w:tc>
        <w:tc>
          <w:tcPr>
            <w:tcW w:w="1508" w:type="dxa"/>
          </w:tcPr>
          <w:p w14:paraId="7AF1F877" w14:textId="77777777" w:rsidR="000134A8" w:rsidRDefault="000134A8" w:rsidP="00850B11">
            <w:pPr>
              <w:rPr>
                <w:lang w:val="en-US"/>
              </w:rPr>
            </w:pPr>
            <w:r>
              <w:rPr>
                <w:lang w:val="en-US"/>
              </w:rPr>
              <w:t>&gt;5m height</w:t>
            </w:r>
          </w:p>
        </w:tc>
      </w:tr>
    </w:tbl>
    <w:p w14:paraId="22FCCB50" w14:textId="77777777" w:rsidR="000134A8" w:rsidRDefault="000134A8" w:rsidP="000134A8">
      <w:pPr>
        <w:rPr>
          <w:b/>
          <w:bCs/>
        </w:rPr>
      </w:pPr>
      <w:r w:rsidRPr="000134A8">
        <w:rPr>
          <w:b/>
          <w:bCs/>
        </w:rPr>
        <w:t>Table 1: Adapted classification for woodland and scrub habitats</w:t>
      </w:r>
    </w:p>
    <w:p w14:paraId="592E41C4" w14:textId="6ED7FC61" w:rsidR="000134A8" w:rsidRDefault="000134A8" w:rsidP="000134A8">
      <w:pPr>
        <w:rPr>
          <w:lang w:val="en-US"/>
        </w:rPr>
      </w:pPr>
      <w:r>
        <w:rPr>
          <w:lang w:val="en-US"/>
        </w:rPr>
        <w:lastRenderedPageBreak/>
        <w:t xml:space="preserve">*The original Phase 1 includes two further categories in Level 1: (3) Parkland and scattered trees and (4) Recently-felled woodland. (3) </w:t>
      </w:r>
      <w:proofErr w:type="gramStart"/>
      <w:r>
        <w:rPr>
          <w:lang w:val="en-US"/>
        </w:rPr>
        <w:t>is</w:t>
      </w:r>
      <w:proofErr w:type="gramEnd"/>
      <w:r>
        <w:rPr>
          <w:lang w:val="en-US"/>
        </w:rPr>
        <w:t xml:space="preserve"> now redundant due to the insertion of Level 4, which accounts for density. (4) </w:t>
      </w:r>
      <w:proofErr w:type="gramStart"/>
      <w:r>
        <w:rPr>
          <w:lang w:val="en-US"/>
        </w:rPr>
        <w:t>is</w:t>
      </w:r>
      <w:proofErr w:type="gramEnd"/>
      <w:r>
        <w:rPr>
          <w:lang w:val="en-US"/>
        </w:rPr>
        <w:t xml:space="preserve"> also potentially redundant as the handbook states only areas whose future land-use is unclear are to be classified as this. At </w:t>
      </w:r>
      <w:proofErr w:type="spellStart"/>
      <w:r>
        <w:rPr>
          <w:lang w:val="en-US"/>
        </w:rPr>
        <w:t>Hardknott</w:t>
      </w:r>
      <w:proofErr w:type="spellEnd"/>
      <w:r>
        <w:rPr>
          <w:lang w:val="en-US"/>
        </w:rPr>
        <w:t>, future felled blocks will either be classed as woodland with small saplings, or as grassland/bog/heath etc.</w:t>
      </w:r>
    </w:p>
    <w:p w14:paraId="7A789E31" w14:textId="0059BE62" w:rsidR="00F8500F" w:rsidRDefault="00BC2440" w:rsidP="000134A8">
      <w:pPr>
        <w:rPr>
          <w:lang w:val="en-US"/>
        </w:rPr>
      </w:pPr>
      <w:r>
        <w:rPr>
          <w:lang w:val="en-US"/>
        </w:rPr>
        <w:t xml:space="preserve">In some </w:t>
      </w:r>
      <w:r w:rsidR="00820849">
        <w:rPr>
          <w:lang w:val="en-US"/>
        </w:rPr>
        <w:t>sections</w:t>
      </w:r>
      <w:r>
        <w:rPr>
          <w:lang w:val="en-US"/>
        </w:rPr>
        <w:t xml:space="preserve">, such as areas of clear fell with recent regrowth, </w:t>
      </w:r>
      <w:r w:rsidR="00820849">
        <w:rPr>
          <w:lang w:val="en-US"/>
        </w:rPr>
        <w:t xml:space="preserve">there could be a degree of ambiguity over habitat classification. </w:t>
      </w:r>
      <w:r>
        <w:rPr>
          <w:lang w:val="en-US"/>
        </w:rPr>
        <w:t>Therefore, if the tree cover was less than 30%, a classification of woodland was preferentially assigned, with a secondary classification given to the background vegetation (e.g. grassland</w:t>
      </w:r>
      <w:r w:rsidR="008A2AB5">
        <w:rPr>
          <w:lang w:val="en-US"/>
        </w:rPr>
        <w:t>, bracken</w:t>
      </w:r>
      <w:r>
        <w:rPr>
          <w:lang w:val="en-US"/>
        </w:rPr>
        <w:t xml:space="preserve"> or heath).</w:t>
      </w:r>
      <w:r w:rsidR="00820849">
        <w:rPr>
          <w:lang w:val="en-US"/>
        </w:rPr>
        <w:t xml:space="preserve"> </w:t>
      </w:r>
    </w:p>
    <w:p w14:paraId="19E3CFF1" w14:textId="15B6A5E0" w:rsidR="0096099C" w:rsidRDefault="0096099C" w:rsidP="0096099C">
      <w:pPr>
        <w:rPr>
          <w:lang w:val="en-US"/>
        </w:rPr>
      </w:pPr>
      <w:r>
        <w:rPr>
          <w:lang w:val="en-US"/>
        </w:rPr>
        <w:t>The survey was carried out on all land owned by Forestry England</w:t>
      </w:r>
      <w:r w:rsidR="00BF7A45">
        <w:rPr>
          <w:lang w:val="en-US"/>
        </w:rPr>
        <w:t xml:space="preserve"> at </w:t>
      </w:r>
      <w:proofErr w:type="spellStart"/>
      <w:r w:rsidR="00BF7A45">
        <w:rPr>
          <w:lang w:val="en-US"/>
        </w:rPr>
        <w:t>Hardknott</w:t>
      </w:r>
      <w:proofErr w:type="spellEnd"/>
      <w:r>
        <w:rPr>
          <w:lang w:val="en-US"/>
        </w:rPr>
        <w:t xml:space="preserve">, including areas currently leased for grazing around Castle How, </w:t>
      </w:r>
      <w:proofErr w:type="spellStart"/>
      <w:r>
        <w:rPr>
          <w:lang w:val="en-US"/>
        </w:rPr>
        <w:t>Hinning</w:t>
      </w:r>
      <w:proofErr w:type="spellEnd"/>
      <w:r>
        <w:rPr>
          <w:lang w:val="en-US"/>
        </w:rPr>
        <w:t xml:space="preserve"> House and </w:t>
      </w:r>
      <w:r w:rsidR="008A2AB5">
        <w:rPr>
          <w:lang w:val="en-US"/>
        </w:rPr>
        <w:t>the Birks</w:t>
      </w:r>
      <w:r>
        <w:rPr>
          <w:lang w:val="en-US"/>
        </w:rPr>
        <w:t>.</w:t>
      </w:r>
      <w:r w:rsidR="008A2AB5">
        <w:rPr>
          <w:lang w:val="en-US"/>
        </w:rPr>
        <w:t xml:space="preserve"> The land around </w:t>
      </w:r>
      <w:proofErr w:type="spellStart"/>
      <w:r w:rsidR="008A2AB5">
        <w:rPr>
          <w:lang w:val="en-US"/>
        </w:rPr>
        <w:t>Grassguards</w:t>
      </w:r>
      <w:proofErr w:type="spellEnd"/>
      <w:r w:rsidR="008A2AB5">
        <w:rPr>
          <w:lang w:val="en-US"/>
        </w:rPr>
        <w:t xml:space="preserve"> was also included, although privately owned.</w:t>
      </w:r>
      <w:r>
        <w:rPr>
          <w:lang w:val="en-US"/>
        </w:rPr>
        <w:t xml:space="preserve"> The proximity of these habitats to the main </w:t>
      </w:r>
      <w:proofErr w:type="spellStart"/>
      <w:r>
        <w:rPr>
          <w:lang w:val="en-US"/>
        </w:rPr>
        <w:t>Hardknott</w:t>
      </w:r>
      <w:proofErr w:type="spellEnd"/>
      <w:r>
        <w:rPr>
          <w:lang w:val="en-US"/>
        </w:rPr>
        <w:t xml:space="preserve"> Forest site means they may aid interpretation of surveys of other wildlife, such as breeding birds</w:t>
      </w:r>
      <w:r w:rsidR="008A2AB5">
        <w:rPr>
          <w:lang w:val="en-US"/>
        </w:rPr>
        <w:t>, and give context to the site as a whole.</w:t>
      </w:r>
    </w:p>
    <w:p w14:paraId="431AA3F0" w14:textId="61683D95" w:rsidR="00BF2F7F" w:rsidRDefault="00BF2F7F" w:rsidP="00BF2F7F">
      <w:pPr>
        <w:pStyle w:val="Heading4"/>
        <w:rPr>
          <w:lang w:val="en-US"/>
        </w:rPr>
      </w:pPr>
      <w:r>
        <w:rPr>
          <w:lang w:val="en-US"/>
        </w:rPr>
        <w:t>Results</w:t>
      </w:r>
    </w:p>
    <w:p w14:paraId="770F717D" w14:textId="2BA1B7F6" w:rsidR="00BF2F7F" w:rsidRDefault="00BF2F7F" w:rsidP="00BF2F7F">
      <w:pPr>
        <w:rPr>
          <w:lang w:val="en-US"/>
        </w:rPr>
      </w:pPr>
      <w:r>
        <w:rPr>
          <w:lang w:val="en-US"/>
        </w:rPr>
        <w:t xml:space="preserve">A total of 64 different habitat types were identified across the site. </w:t>
      </w:r>
      <w:r w:rsidR="00180ADA">
        <w:rPr>
          <w:lang w:val="en-US"/>
        </w:rPr>
        <w:t>The most common habitat was semi-improved acid grassland, which accounted for 105 ha or 17% of the total site. Figure 1 shows the area</w:t>
      </w:r>
      <w:r w:rsidR="001B2052">
        <w:rPr>
          <w:lang w:val="en-US"/>
        </w:rPr>
        <w:t>s</w:t>
      </w:r>
      <w:r w:rsidR="00180ADA">
        <w:rPr>
          <w:lang w:val="en-US"/>
        </w:rPr>
        <w:t xml:space="preserve"> of different habitat types across the site. For ease of interpretation, woodland habitats have been grouped according to their Level 2 classification (see Table 1). Collectively, woodland habitats account for 400 ha, which is 63% of the total site. </w:t>
      </w:r>
      <w:r w:rsidR="001B2052">
        <w:rPr>
          <w:lang w:val="en-US"/>
        </w:rPr>
        <w:t>A map of simplified habitat categories is shown in Figure 2.</w:t>
      </w:r>
    </w:p>
    <w:p w14:paraId="4541E7CB" w14:textId="2EB072A1" w:rsidR="00BF2F7F" w:rsidRPr="00BF2F7F" w:rsidRDefault="00772943" w:rsidP="00BF2F7F">
      <w:pPr>
        <w:rPr>
          <w:lang w:val="en-US"/>
        </w:rPr>
      </w:pPr>
      <w:r>
        <w:rPr>
          <w:noProof/>
          <w:lang w:eastAsia="en-GB"/>
        </w:rPr>
        <w:drawing>
          <wp:inline distT="0" distB="0" distL="0" distR="0" wp14:anchorId="259B67D3" wp14:editId="39A377C9">
            <wp:extent cx="5609020" cy="3664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5793" cy="3669010"/>
                    </a:xfrm>
                    <a:prstGeom prst="rect">
                      <a:avLst/>
                    </a:prstGeom>
                    <a:noFill/>
                  </pic:spPr>
                </pic:pic>
              </a:graphicData>
            </a:graphic>
          </wp:inline>
        </w:drawing>
      </w:r>
    </w:p>
    <w:p w14:paraId="271E9A5A" w14:textId="22ADE576" w:rsidR="00BF2F7F" w:rsidRDefault="00180ADA" w:rsidP="004D43E0">
      <w:pPr>
        <w:rPr>
          <w:b/>
          <w:bCs/>
          <w:lang w:val="en-US"/>
        </w:rPr>
      </w:pPr>
      <w:r>
        <w:rPr>
          <w:b/>
          <w:bCs/>
          <w:lang w:val="en-US"/>
        </w:rPr>
        <w:t>Figure 1</w:t>
      </w:r>
      <w:r w:rsidRPr="001F5119">
        <w:rPr>
          <w:b/>
          <w:bCs/>
          <w:lang w:val="en-US"/>
        </w:rPr>
        <w:t>: Area of different habitats surveyed during the 2020 P1HS</w:t>
      </w:r>
    </w:p>
    <w:p w14:paraId="04489F56" w14:textId="5DED1727" w:rsidR="001B2052" w:rsidRDefault="001B2052" w:rsidP="004D43E0">
      <w:pPr>
        <w:rPr>
          <w:b/>
          <w:bCs/>
          <w:lang w:val="en-US"/>
        </w:rPr>
      </w:pPr>
      <w:r>
        <w:rPr>
          <w:b/>
          <w:bCs/>
          <w:noProof/>
          <w:lang w:eastAsia="en-GB"/>
        </w:rPr>
        <w:lastRenderedPageBreak/>
        <w:drawing>
          <wp:inline distT="0" distB="0" distL="0" distR="0" wp14:anchorId="7870D35E" wp14:editId="2DA2E9B9">
            <wp:extent cx="5397500" cy="7772400"/>
            <wp:effectExtent l="0" t="0" r="0" b="0"/>
            <wp:docPr id="8" name="Picture 8"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ap&#10;&#10;Description automatically generated"/>
                    <pic:cNvPicPr/>
                  </pic:nvPicPr>
                  <pic:blipFill rotWithShape="1">
                    <a:blip r:embed="rId8">
                      <a:extLst>
                        <a:ext uri="{28A0092B-C50C-407E-A947-70E740481C1C}">
                          <a14:useLocalDpi xmlns:a14="http://schemas.microsoft.com/office/drawing/2010/main" val="0"/>
                        </a:ext>
                      </a:extLst>
                    </a:blip>
                    <a:srcRect l="2881" t="2193" r="2947" b="1927"/>
                    <a:stretch/>
                  </pic:blipFill>
                  <pic:spPr bwMode="auto">
                    <a:xfrm>
                      <a:off x="0" y="0"/>
                      <a:ext cx="5397500" cy="7772400"/>
                    </a:xfrm>
                    <a:prstGeom prst="rect">
                      <a:avLst/>
                    </a:prstGeom>
                    <a:ln>
                      <a:noFill/>
                    </a:ln>
                    <a:extLst>
                      <a:ext uri="{53640926-AAD7-44D8-BBD7-CCE9431645EC}">
                        <a14:shadowObscured xmlns:a14="http://schemas.microsoft.com/office/drawing/2010/main"/>
                      </a:ext>
                    </a:extLst>
                  </pic:spPr>
                </pic:pic>
              </a:graphicData>
            </a:graphic>
          </wp:inline>
        </w:drawing>
      </w:r>
    </w:p>
    <w:p w14:paraId="6B9E0ECE" w14:textId="0332F4A0" w:rsidR="001B2052" w:rsidRPr="001F5119" w:rsidRDefault="001B2052" w:rsidP="004D43E0">
      <w:pPr>
        <w:rPr>
          <w:b/>
          <w:bCs/>
          <w:lang w:val="en-US"/>
        </w:rPr>
      </w:pPr>
      <w:r>
        <w:rPr>
          <w:b/>
          <w:bCs/>
          <w:lang w:val="en-US"/>
        </w:rPr>
        <w:t xml:space="preserve">Figure 2: Map of simplified habitat categories at </w:t>
      </w:r>
      <w:proofErr w:type="spellStart"/>
      <w:r>
        <w:rPr>
          <w:b/>
          <w:bCs/>
          <w:lang w:val="en-US"/>
        </w:rPr>
        <w:t>Hardknott</w:t>
      </w:r>
      <w:proofErr w:type="spellEnd"/>
      <w:r>
        <w:rPr>
          <w:b/>
          <w:bCs/>
          <w:lang w:val="en-US"/>
        </w:rPr>
        <w:t xml:space="preserve"> Forest</w:t>
      </w:r>
    </w:p>
    <w:p w14:paraId="38FAE1B1" w14:textId="3B96D146" w:rsidR="003B6622" w:rsidRDefault="003B6622" w:rsidP="003B6622">
      <w:pPr>
        <w:pStyle w:val="Heading5"/>
      </w:pPr>
      <w:r>
        <w:lastRenderedPageBreak/>
        <w:t>Woodland habitats</w:t>
      </w:r>
    </w:p>
    <w:p w14:paraId="66349699" w14:textId="58C75DF2" w:rsidR="00236A44" w:rsidRDefault="00D61D58" w:rsidP="00236A44">
      <w:r>
        <w:t xml:space="preserve">Of the area covered by woodland, the majority is classified as broadleaf, as shown in Figure </w:t>
      </w:r>
      <w:r w:rsidR="001B2052">
        <w:t>3</w:t>
      </w:r>
      <w:r>
        <w:t>. Collectively, 15</w:t>
      </w:r>
      <w:r w:rsidR="00854D35">
        <w:t>8</w:t>
      </w:r>
      <w:r>
        <w:t xml:space="preserve"> ha are covered with coniferous woodland, however only 9</w:t>
      </w:r>
      <w:r w:rsidR="00854D35">
        <w:t>5</w:t>
      </w:r>
      <w:r>
        <w:t xml:space="preserve"> ha of this is plantation, with the remaining 62 ha being regenerated</w:t>
      </w:r>
      <w:r w:rsidR="00F36AAB">
        <w:t xml:space="preserve"> (semi-natural)</w:t>
      </w:r>
      <w:r>
        <w:t xml:space="preserve"> coniferous trees. </w:t>
      </w:r>
    </w:p>
    <w:p w14:paraId="7FD02F8B" w14:textId="52B01EBC" w:rsidR="00D61D58" w:rsidRDefault="00D61D58" w:rsidP="00236A44">
      <w:r>
        <w:t>Excluding areas of coniferous plantation,</w:t>
      </w:r>
      <w:r w:rsidR="00FD6425">
        <w:t xml:space="preserve"> 29% of </w:t>
      </w:r>
      <w:r w:rsidR="007915E3">
        <w:t xml:space="preserve">total </w:t>
      </w:r>
      <w:r w:rsidR="00FD6425">
        <w:t>woodland</w:t>
      </w:r>
      <w:r w:rsidR="007915E3">
        <w:t xml:space="preserve"> </w:t>
      </w:r>
      <w:r w:rsidR="00FD6425">
        <w:t xml:space="preserve">is classified as majority coniferous (either </w:t>
      </w:r>
      <w:r w:rsidR="00772943">
        <w:t>semi-natural</w:t>
      </w:r>
      <w:r w:rsidR="00FD6425">
        <w:t xml:space="preserve"> coniferous or mixed woodland (10-50% broadleaf)), compared to 4</w:t>
      </w:r>
      <w:r w:rsidR="00F0006C">
        <w:t>7</w:t>
      </w:r>
      <w:r w:rsidR="00FD6425">
        <w:t>% as majority broadleaf (broadleaf or mixed woodland (50-90% broadleaf)).</w:t>
      </w:r>
    </w:p>
    <w:p w14:paraId="74932717" w14:textId="4D52A3B0" w:rsidR="00D61D58" w:rsidRPr="007D48D2" w:rsidRDefault="00772943" w:rsidP="007915E3">
      <w:pPr>
        <w:jc w:val="center"/>
      </w:pPr>
      <w:r>
        <w:rPr>
          <w:noProof/>
          <w:lang w:eastAsia="en-GB"/>
        </w:rPr>
        <w:drawing>
          <wp:inline distT="0" distB="0" distL="0" distR="0" wp14:anchorId="23001591" wp14:editId="6614F6F3">
            <wp:extent cx="4584700" cy="27679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inline>
        </w:drawing>
      </w:r>
    </w:p>
    <w:p w14:paraId="442F4094" w14:textId="329BBB10" w:rsidR="00236A44" w:rsidRDefault="007915E3" w:rsidP="00236A44">
      <w:pPr>
        <w:rPr>
          <w:b/>
          <w:bCs/>
        </w:rPr>
      </w:pPr>
      <w:r>
        <w:rPr>
          <w:b/>
          <w:bCs/>
        </w:rPr>
        <w:t xml:space="preserve">Figure </w:t>
      </w:r>
      <w:r w:rsidR="001B2052">
        <w:rPr>
          <w:b/>
          <w:bCs/>
        </w:rPr>
        <w:t>3</w:t>
      </w:r>
      <w:r>
        <w:rPr>
          <w:b/>
          <w:bCs/>
        </w:rPr>
        <w:t xml:space="preserve">: </w:t>
      </w:r>
      <w:r w:rsidR="001F5119">
        <w:rPr>
          <w:b/>
          <w:bCs/>
        </w:rPr>
        <w:t>Proportions of different woodland habitat categories out of total area of woodland</w:t>
      </w:r>
    </w:p>
    <w:p w14:paraId="7A32DCBC" w14:textId="68D0FACB" w:rsidR="003B6622" w:rsidRDefault="003B6622" w:rsidP="003B6622">
      <w:pPr>
        <w:pStyle w:val="Heading5"/>
      </w:pPr>
      <w:r>
        <w:t>Canopy height</w:t>
      </w:r>
    </w:p>
    <w:p w14:paraId="644C3752" w14:textId="6B05C95E" w:rsidR="006B6FE8" w:rsidRPr="0072578C" w:rsidRDefault="0072578C" w:rsidP="00236A44">
      <w:r>
        <w:t xml:space="preserve">Figure </w:t>
      </w:r>
      <w:r w:rsidR="001B2052">
        <w:t>4</w:t>
      </w:r>
      <w:r>
        <w:t xml:space="preserve"> shows the canopy height within different woodland habitats. This highlights that roughly half of all areas of woodland over 5m high are coniferous plantation, with the remaining area split evenly between majority broadleaf and majority conifer. All coniferous plantation on site is over 5m high and therefore reaching maturity. </w:t>
      </w:r>
    </w:p>
    <w:p w14:paraId="48811A1C" w14:textId="1CDC297D" w:rsidR="00236A44" w:rsidRDefault="00772943" w:rsidP="006B6FE8">
      <w:pPr>
        <w:jc w:val="center"/>
      </w:pPr>
      <w:r>
        <w:rPr>
          <w:noProof/>
          <w:lang w:eastAsia="en-GB"/>
        </w:rPr>
        <w:drawing>
          <wp:inline distT="0" distB="0" distL="0" distR="0" wp14:anchorId="09BD079B" wp14:editId="3A5F5ACF">
            <wp:extent cx="547497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2819400"/>
                    </a:xfrm>
                    <a:prstGeom prst="rect">
                      <a:avLst/>
                    </a:prstGeom>
                    <a:noFill/>
                  </pic:spPr>
                </pic:pic>
              </a:graphicData>
            </a:graphic>
          </wp:inline>
        </w:drawing>
      </w:r>
    </w:p>
    <w:p w14:paraId="019741A4" w14:textId="39EC227C" w:rsidR="0072578C" w:rsidRDefault="0072578C" w:rsidP="0072578C">
      <w:r>
        <w:rPr>
          <w:b/>
          <w:bCs/>
        </w:rPr>
        <w:t xml:space="preserve">Figure </w:t>
      </w:r>
      <w:r w:rsidR="001B2052">
        <w:rPr>
          <w:b/>
          <w:bCs/>
        </w:rPr>
        <w:t>4</w:t>
      </w:r>
      <w:r>
        <w:rPr>
          <w:b/>
          <w:bCs/>
        </w:rPr>
        <w:t>: Canopy height of different woodland habitats</w:t>
      </w:r>
    </w:p>
    <w:p w14:paraId="402BE5CC" w14:textId="39641853" w:rsidR="0072578C" w:rsidRDefault="00AE6FD0" w:rsidP="0072578C">
      <w:r>
        <w:lastRenderedPageBreak/>
        <w:t xml:space="preserve">Of the </w:t>
      </w:r>
      <w:r w:rsidR="003B6622">
        <w:t>17</w:t>
      </w:r>
      <w:r w:rsidR="00F0006C">
        <w:t>5</w:t>
      </w:r>
      <w:r w:rsidR="003B6622">
        <w:t xml:space="preserve"> ha </w:t>
      </w:r>
      <w:r>
        <w:t>with canopy heights between 1m and 5m, nearly 70% are classified as majority broadleaf</w:t>
      </w:r>
      <w:r w:rsidR="008573A9">
        <w:t>, showing that much of the area of broadleaf has yet to reach maturity</w:t>
      </w:r>
      <w:r>
        <w:t xml:space="preserve">. Only 28 ha are classed as woodland &gt;1m tall, of which around two thirds are majority coniferous. </w:t>
      </w:r>
    </w:p>
    <w:p w14:paraId="465C1A54" w14:textId="39B2AF6B" w:rsidR="003B6622" w:rsidRDefault="003B6622" w:rsidP="003B6622">
      <w:pPr>
        <w:pStyle w:val="Heading5"/>
      </w:pPr>
      <w:r>
        <w:t>Percentage tree cover</w:t>
      </w:r>
    </w:p>
    <w:p w14:paraId="17006574" w14:textId="06D5D6FD" w:rsidR="00515AEC" w:rsidRDefault="00515AEC" w:rsidP="00515AEC">
      <w:r>
        <w:t xml:space="preserve">Figure </w:t>
      </w:r>
      <w:r w:rsidR="001B2052">
        <w:t>5</w:t>
      </w:r>
      <w:r>
        <w:t xml:space="preserve"> shows the percentage tree cover of areas classified as woodland habitat. </w:t>
      </w:r>
      <w:r w:rsidR="00686A58">
        <w:t>Three fifths of total woodland habitat h</w:t>
      </w:r>
      <w:r w:rsidR="00B112FF">
        <w:t>ave</w:t>
      </w:r>
      <w:r w:rsidR="00686A58">
        <w:t xml:space="preserve"> </w:t>
      </w:r>
      <w:r>
        <w:t xml:space="preserve">tree cover of greater than 60%. </w:t>
      </w:r>
    </w:p>
    <w:p w14:paraId="76690A6B" w14:textId="00A98F78" w:rsidR="006870F9" w:rsidRDefault="00772943" w:rsidP="00515AEC">
      <w:r>
        <w:rPr>
          <w:noProof/>
          <w:lang w:eastAsia="en-GB"/>
        </w:rPr>
        <w:drawing>
          <wp:inline distT="0" distB="0" distL="0" distR="0" wp14:anchorId="39F60DF5" wp14:editId="309FE1E3">
            <wp:extent cx="5663565" cy="2755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565" cy="2755900"/>
                    </a:xfrm>
                    <a:prstGeom prst="rect">
                      <a:avLst/>
                    </a:prstGeom>
                    <a:noFill/>
                  </pic:spPr>
                </pic:pic>
              </a:graphicData>
            </a:graphic>
          </wp:inline>
        </w:drawing>
      </w:r>
    </w:p>
    <w:p w14:paraId="3BD8CB96" w14:textId="4E415D2D" w:rsidR="006870F9" w:rsidRDefault="006870F9" w:rsidP="00515AEC">
      <w:pPr>
        <w:rPr>
          <w:b/>
          <w:bCs/>
        </w:rPr>
      </w:pPr>
      <w:r w:rsidRPr="006870F9">
        <w:rPr>
          <w:b/>
          <w:bCs/>
        </w:rPr>
        <w:t xml:space="preserve">Figure </w:t>
      </w:r>
      <w:r w:rsidR="001B2052">
        <w:rPr>
          <w:b/>
          <w:bCs/>
        </w:rPr>
        <w:t>5</w:t>
      </w:r>
      <w:r w:rsidRPr="006870F9">
        <w:rPr>
          <w:b/>
          <w:bCs/>
        </w:rPr>
        <w:t>: Percentage tree cover of different woodland habitats</w:t>
      </w:r>
    </w:p>
    <w:p w14:paraId="64D2CE89" w14:textId="3F05D8CB" w:rsidR="006870F9" w:rsidRPr="006870F9" w:rsidRDefault="006870F9" w:rsidP="00515AEC">
      <w:r>
        <w:t xml:space="preserve">As shown in Figure </w:t>
      </w:r>
      <w:r w:rsidR="001B2052">
        <w:t>6</w:t>
      </w:r>
      <w:r>
        <w:t xml:space="preserve">, the areas of greatest canopy height generally have a </w:t>
      </w:r>
      <w:r w:rsidR="00FD1751">
        <w:t>greater percentage canopy cover</w:t>
      </w:r>
      <w:r>
        <w:t xml:space="preserve">, </w:t>
      </w:r>
      <w:r w:rsidR="00B112FF">
        <w:t xml:space="preserve">as </w:t>
      </w:r>
      <w:r>
        <w:t xml:space="preserve">bigger trees have </w:t>
      </w:r>
      <w:r w:rsidR="00FD1751">
        <w:t>more foliage and so cover more</w:t>
      </w:r>
      <w:r>
        <w:t xml:space="preserve"> ground. Areas with smaller trees generally have a lower percentage tree cover.</w:t>
      </w:r>
    </w:p>
    <w:p w14:paraId="44A51EE3" w14:textId="3089FCFD" w:rsidR="006870F9" w:rsidRPr="006870F9" w:rsidRDefault="00F0006C" w:rsidP="00515AEC">
      <w:pPr>
        <w:rPr>
          <w:b/>
          <w:bCs/>
        </w:rPr>
      </w:pPr>
      <w:r>
        <w:rPr>
          <w:b/>
          <w:bCs/>
          <w:noProof/>
          <w:lang w:eastAsia="en-GB"/>
        </w:rPr>
        <w:drawing>
          <wp:inline distT="0" distB="0" distL="0" distR="0" wp14:anchorId="76638EAE" wp14:editId="63BEFA02">
            <wp:extent cx="5438140" cy="2755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140" cy="2755900"/>
                    </a:xfrm>
                    <a:prstGeom prst="rect">
                      <a:avLst/>
                    </a:prstGeom>
                    <a:noFill/>
                  </pic:spPr>
                </pic:pic>
              </a:graphicData>
            </a:graphic>
          </wp:inline>
        </w:drawing>
      </w:r>
    </w:p>
    <w:p w14:paraId="041721B2" w14:textId="4ABBE32E" w:rsidR="003B6622" w:rsidRPr="006870F9" w:rsidRDefault="006870F9" w:rsidP="003B6622">
      <w:pPr>
        <w:rPr>
          <w:b/>
          <w:bCs/>
          <w:noProof/>
        </w:rPr>
      </w:pPr>
      <w:r w:rsidRPr="006870F9">
        <w:rPr>
          <w:b/>
          <w:bCs/>
          <w:noProof/>
        </w:rPr>
        <w:t xml:space="preserve">Figure </w:t>
      </w:r>
      <w:r w:rsidR="001B2052">
        <w:rPr>
          <w:b/>
          <w:bCs/>
          <w:noProof/>
        </w:rPr>
        <w:t>6</w:t>
      </w:r>
      <w:r w:rsidRPr="006870F9">
        <w:rPr>
          <w:b/>
          <w:bCs/>
          <w:noProof/>
        </w:rPr>
        <w:t>: Canopy height and percentage tree cover of different woodland habitats</w:t>
      </w:r>
    </w:p>
    <w:p w14:paraId="647C594B" w14:textId="7BEF5456" w:rsidR="00755BBE" w:rsidRDefault="00755BBE" w:rsidP="00755BBE">
      <w:pPr>
        <w:pStyle w:val="Heading5"/>
      </w:pPr>
      <w:r>
        <w:t>Grassland and heath habitats</w:t>
      </w:r>
    </w:p>
    <w:p w14:paraId="429BE5C0" w14:textId="0A17621B" w:rsidR="00755BBE" w:rsidRDefault="00755BBE" w:rsidP="00755BBE">
      <w:r>
        <w:t xml:space="preserve">186 ha (29%) of the site are classed as </w:t>
      </w:r>
      <w:proofErr w:type="gramStart"/>
      <w:r>
        <w:t>a</w:t>
      </w:r>
      <w:proofErr w:type="gramEnd"/>
      <w:r>
        <w:t xml:space="preserve"> either a grassland or heath habitat. This includes semi-improved acid grassland, marshy grassland, dry dwarf shrub heath, wet dwarf shrub heath and both </w:t>
      </w:r>
      <w:r>
        <w:lastRenderedPageBreak/>
        <w:t>wet and dry heath/acid grassland mosaics.</w:t>
      </w:r>
      <w:r w:rsidR="001F0541">
        <w:t xml:space="preserve"> The JNCC handbook states that the mosaic categories are included for ease of mapping and recommends that relative proportions of each habitat are target noted. Due to site conditions and terrain, estimating proportional habitat coverage of the mosaic areas was deemed to</w:t>
      </w:r>
      <w:r w:rsidR="00C70038">
        <w:t>o</w:t>
      </w:r>
      <w:r w:rsidR="001F0541">
        <w:t xml:space="preserve"> difficult, therefore a 50/50 split is assumed (as recommended in the handbook). This gives an overall estimation of semi-improved acid grassland coverage of 132 ha</w:t>
      </w:r>
      <w:r w:rsidR="004F2FD5">
        <w:t xml:space="preserve"> with 32 ha of dry heath and 10 ha of wet heath.</w:t>
      </w:r>
    </w:p>
    <w:p w14:paraId="3774AF22" w14:textId="0069848D" w:rsidR="00C70038" w:rsidRDefault="00C70038" w:rsidP="00755BBE">
      <w:r>
        <w:t>Both dry and wet heath are generally found at higher elevations on the site, particularly on rocky outcrops where coniferous plantations were not established.</w:t>
      </w:r>
    </w:p>
    <w:p w14:paraId="5B151FA7" w14:textId="581D9DF8" w:rsidR="005917FB" w:rsidRDefault="005917FB" w:rsidP="00755BBE">
      <w:r>
        <w:t>Most rock or crag outcrops are included within these categories as the handbook states that only rock over 2m high and sloping at more than 60</w:t>
      </w:r>
      <w:r>
        <w:rPr>
          <w:rFonts w:cstheme="minorHAnsi"/>
        </w:rPr>
        <w:t>˚</w:t>
      </w:r>
      <w:r>
        <w:t xml:space="preserve"> should be classed as inland cliff, with vegetated cliffs being mapped using the relevant vegetation code.  </w:t>
      </w:r>
    </w:p>
    <w:p w14:paraId="03420A50" w14:textId="62E6E265" w:rsidR="0064287C" w:rsidRDefault="0064287C" w:rsidP="0064287C">
      <w:pPr>
        <w:pStyle w:val="Heading5"/>
      </w:pPr>
      <w:r>
        <w:t>Other habitats</w:t>
      </w:r>
    </w:p>
    <w:p w14:paraId="4E8822AB" w14:textId="785D4BE6" w:rsidR="0064287C" w:rsidRDefault="0064287C" w:rsidP="0064287C">
      <w:r w:rsidRPr="0064287C">
        <w:t>Other notable habitats on site include bracken (both</w:t>
      </w:r>
      <w:r>
        <w:t xml:space="preserve"> continuous and scattered), blanket bog and</w:t>
      </w:r>
      <w:r w:rsidR="000D7233">
        <w:t xml:space="preserve"> </w:t>
      </w:r>
      <w:r w:rsidR="00C17990">
        <w:t>aquatic</w:t>
      </w:r>
      <w:r w:rsidR="000D7233">
        <w:t xml:space="preserve"> habitats. Bracken accounts for 3% (20 ha) of the site, with the largest swathe found around Castle How.</w:t>
      </w:r>
      <w:r w:rsidR="00C17990">
        <w:t xml:space="preserve"> Collectively, blanket bog and modified bog cover also cover 20 ha and are found to the south-west of the site near </w:t>
      </w:r>
      <w:proofErr w:type="spellStart"/>
      <w:r w:rsidR="00C17990">
        <w:t>Wallabarrow</w:t>
      </w:r>
      <w:proofErr w:type="spellEnd"/>
      <w:r w:rsidR="00C17990">
        <w:t xml:space="preserve"> </w:t>
      </w:r>
      <w:proofErr w:type="spellStart"/>
      <w:r w:rsidR="00C17990">
        <w:t>Heald</w:t>
      </w:r>
      <w:proofErr w:type="spellEnd"/>
      <w:r w:rsidR="00C17990">
        <w:t>. The majority of the peat bog h</w:t>
      </w:r>
      <w:r w:rsidR="00B112FF">
        <w:t xml:space="preserve">ere </w:t>
      </w:r>
      <w:r w:rsidR="00C17990">
        <w:t xml:space="preserve">has been disturbed by ploughing/drainage and planting, however the small section furthest from the access track remains relatively unaltered. </w:t>
      </w:r>
    </w:p>
    <w:p w14:paraId="583C9628" w14:textId="4AE9EB92" w:rsidR="00C17990" w:rsidRDefault="00C17990" w:rsidP="0064287C">
      <w:r>
        <w:t xml:space="preserve">The predominant aquatic habitat is oligotrophic running water, found in both the River </w:t>
      </w:r>
      <w:proofErr w:type="spellStart"/>
      <w:r>
        <w:t>Duddon</w:t>
      </w:r>
      <w:proofErr w:type="spellEnd"/>
      <w:r>
        <w:t xml:space="preserve"> and smaller tributaries such as </w:t>
      </w:r>
      <w:proofErr w:type="spellStart"/>
      <w:r>
        <w:t>Grassguards</w:t>
      </w:r>
      <w:proofErr w:type="spellEnd"/>
      <w:r>
        <w:t xml:space="preserve"> Gill and </w:t>
      </w:r>
      <w:proofErr w:type="spellStart"/>
      <w:r>
        <w:t>Castlehow</w:t>
      </w:r>
      <w:proofErr w:type="spellEnd"/>
      <w:r>
        <w:t xml:space="preserve"> Beck. Marginal vegetation and inundation vegetation account for 0.7 and 0.2 ha respectively, and are found along the edge of the River </w:t>
      </w:r>
      <w:proofErr w:type="spellStart"/>
      <w:r>
        <w:t>Duddon</w:t>
      </w:r>
      <w:proofErr w:type="spellEnd"/>
      <w:r w:rsidR="00EE138A">
        <w:t xml:space="preserve"> north of the bridge at the main car park. </w:t>
      </w:r>
    </w:p>
    <w:p w14:paraId="5FB61AA2" w14:textId="1A7891E6" w:rsidR="000A6016" w:rsidRDefault="000A6016" w:rsidP="000A6016">
      <w:pPr>
        <w:pStyle w:val="Heading4"/>
      </w:pPr>
      <w:r>
        <w:t>Evaluation and conclusions</w:t>
      </w:r>
    </w:p>
    <w:p w14:paraId="2F343C90" w14:textId="12C111B9" w:rsidR="00C70038" w:rsidRDefault="00FD1751" w:rsidP="000A6016">
      <w:pPr>
        <w:rPr>
          <w:lang w:val="en-US"/>
        </w:rPr>
      </w:pPr>
      <w:r>
        <w:t xml:space="preserve">The </w:t>
      </w:r>
      <w:r w:rsidRPr="00B112FF">
        <w:t xml:space="preserve">P1HS provides </w:t>
      </w:r>
      <w:r w:rsidR="00153194" w:rsidRPr="00B112FF">
        <w:t>a</w:t>
      </w:r>
      <w:r w:rsidR="002C4B3F" w:rsidRPr="00B112FF">
        <w:t>n</w:t>
      </w:r>
      <w:r w:rsidR="00153194" w:rsidRPr="00B112FF">
        <w:t xml:space="preserve"> overview</w:t>
      </w:r>
      <w:r w:rsidRPr="00B112FF">
        <w:t xml:space="preserve"> of the habitats found on a site experiencing relatively rapid </w:t>
      </w:r>
      <w:r w:rsidR="00153194" w:rsidRPr="00B112FF">
        <w:t xml:space="preserve">land use change. </w:t>
      </w:r>
      <w:r w:rsidR="0020345E" w:rsidRPr="00B112FF">
        <w:t>Just under</w:t>
      </w:r>
      <w:r w:rsidR="0020345E">
        <w:t xml:space="preserve"> </w:t>
      </w:r>
      <w:r w:rsidR="00C70038">
        <w:t>two thirds of</w:t>
      </w:r>
      <w:r w:rsidR="00153194">
        <w:t xml:space="preserve"> the site </w:t>
      </w:r>
      <w:r w:rsidR="004E7E65">
        <w:t>i</w:t>
      </w:r>
      <w:r w:rsidR="00C70038">
        <w:t xml:space="preserve">s </w:t>
      </w:r>
      <w:r w:rsidR="00153194">
        <w:t>woodland</w:t>
      </w:r>
      <w:r w:rsidR="00C70038">
        <w:t xml:space="preserve">, with nearly half of this categorised as majority broadleaf habitat. </w:t>
      </w:r>
      <w:r w:rsidR="00C70038">
        <w:rPr>
          <w:lang w:val="en-US"/>
        </w:rPr>
        <w:t xml:space="preserve">However, </w:t>
      </w:r>
      <w:r w:rsidR="004E7E65">
        <w:rPr>
          <w:lang w:val="en-US"/>
        </w:rPr>
        <w:t>most</w:t>
      </w:r>
      <w:r w:rsidR="00C70038">
        <w:rPr>
          <w:lang w:val="en-US"/>
        </w:rPr>
        <w:t xml:space="preserve"> of these </w:t>
      </w:r>
      <w:r w:rsidR="0020345E">
        <w:rPr>
          <w:lang w:val="en-US"/>
        </w:rPr>
        <w:t xml:space="preserve">areas of </w:t>
      </w:r>
      <w:r w:rsidR="00C70038">
        <w:rPr>
          <w:lang w:val="en-US"/>
        </w:rPr>
        <w:t xml:space="preserve">broadleaf have estimated canopy heights of less than 5m, showing that the trees are still establishing. </w:t>
      </w:r>
      <w:r w:rsidR="003D57C8">
        <w:rPr>
          <w:lang w:val="en-US"/>
        </w:rPr>
        <w:t>Canopy</w:t>
      </w:r>
      <w:r w:rsidR="004F2FD5">
        <w:rPr>
          <w:lang w:val="en-US"/>
        </w:rPr>
        <w:t xml:space="preserve"> cover</w:t>
      </w:r>
      <w:r w:rsidR="003D57C8">
        <w:rPr>
          <w:lang w:val="en-US"/>
        </w:rPr>
        <w:t xml:space="preserve"> varies</w:t>
      </w:r>
      <w:r w:rsidR="004F2FD5">
        <w:rPr>
          <w:lang w:val="en-US"/>
        </w:rPr>
        <w:t xml:space="preserve"> across the wooded habitats</w:t>
      </w:r>
      <w:r w:rsidR="002C4B3F">
        <w:rPr>
          <w:lang w:val="en-US"/>
        </w:rPr>
        <w:t xml:space="preserve"> </w:t>
      </w:r>
      <w:r w:rsidR="003D57C8">
        <w:rPr>
          <w:lang w:val="en-US"/>
        </w:rPr>
        <w:t>but is generally lower in areas where trees have a lower canopy height.</w:t>
      </w:r>
      <w:r w:rsidR="001B06C5">
        <w:rPr>
          <w:lang w:val="en-US"/>
        </w:rPr>
        <w:t xml:space="preserve"> 9</w:t>
      </w:r>
      <w:r w:rsidR="00F0006C">
        <w:rPr>
          <w:lang w:val="en-US"/>
        </w:rPr>
        <w:t>5</w:t>
      </w:r>
      <w:r w:rsidR="001B06C5">
        <w:rPr>
          <w:lang w:val="en-US"/>
        </w:rPr>
        <w:t xml:space="preserve"> hectares (around 1</w:t>
      </w:r>
      <w:r w:rsidR="00F0006C">
        <w:rPr>
          <w:lang w:val="en-US"/>
        </w:rPr>
        <w:t>5</w:t>
      </w:r>
      <w:r w:rsidR="001B06C5">
        <w:rPr>
          <w:lang w:val="en-US"/>
        </w:rPr>
        <w:t>%) of the site is covered by same-age stands of coniferous plantation, which are reaching maturity.</w:t>
      </w:r>
    </w:p>
    <w:p w14:paraId="7C57AB56" w14:textId="77777777" w:rsidR="009A3432" w:rsidRDefault="00C70038" w:rsidP="00C70038">
      <w:r>
        <w:t>As the land use on site changes, a diverse mosaic of habitats is developing, with significant areas of heath, bog, bracken and grassland</w:t>
      </w:r>
      <w:r w:rsidR="001066EA">
        <w:t>, particularly in the upper parts of the site.</w:t>
      </w:r>
      <w:r w:rsidR="00B112FF">
        <w:t xml:space="preserve"> </w:t>
      </w:r>
    </w:p>
    <w:p w14:paraId="061D699E" w14:textId="223F9584" w:rsidR="00C70038" w:rsidRPr="00B112FF" w:rsidRDefault="00C70038" w:rsidP="00C70038">
      <w:r>
        <w:rPr>
          <w:lang w:val="en-US"/>
        </w:rPr>
        <w:t>The</w:t>
      </w:r>
      <w:r w:rsidR="00980BF7">
        <w:rPr>
          <w:lang w:val="en-US"/>
        </w:rPr>
        <w:t xml:space="preserve"> 2020</w:t>
      </w:r>
      <w:r>
        <w:rPr>
          <w:lang w:val="en-US"/>
        </w:rPr>
        <w:t xml:space="preserve"> </w:t>
      </w:r>
      <w:r w:rsidR="001066EA">
        <w:rPr>
          <w:lang w:val="en-US"/>
        </w:rPr>
        <w:t>P1HS</w:t>
      </w:r>
      <w:r>
        <w:rPr>
          <w:lang w:val="en-US"/>
        </w:rPr>
        <w:t xml:space="preserve"> will be a useful tool for interpreting surveys</w:t>
      </w:r>
      <w:r w:rsidR="001066EA">
        <w:rPr>
          <w:lang w:val="en-US"/>
        </w:rPr>
        <w:t xml:space="preserve"> of wildlife distribution and impact</w:t>
      </w:r>
      <w:r>
        <w:rPr>
          <w:lang w:val="en-US"/>
        </w:rPr>
        <w:t>, as well as aiding management of the site and providing a benchmark for monitoring future habitat change.</w:t>
      </w:r>
    </w:p>
    <w:p w14:paraId="3523A608" w14:textId="77777777" w:rsidR="00C70038" w:rsidRPr="000A6016" w:rsidRDefault="00C70038" w:rsidP="000A6016"/>
    <w:sectPr w:rsidR="00C70038" w:rsidRPr="000A601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11DE2" w14:textId="77777777" w:rsidR="00AB2B87" w:rsidRDefault="00AB2B87" w:rsidP="005E1C64">
      <w:pPr>
        <w:spacing w:after="0" w:line="240" w:lineRule="auto"/>
      </w:pPr>
      <w:r>
        <w:separator/>
      </w:r>
    </w:p>
  </w:endnote>
  <w:endnote w:type="continuationSeparator" w:id="0">
    <w:p w14:paraId="1889F118" w14:textId="77777777" w:rsidR="00AB2B87" w:rsidRDefault="00AB2B87" w:rsidP="005E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2382"/>
      <w:docPartObj>
        <w:docPartGallery w:val="Page Numbers (Bottom of Page)"/>
        <w:docPartUnique/>
      </w:docPartObj>
    </w:sdtPr>
    <w:sdtEndPr>
      <w:rPr>
        <w:noProof/>
      </w:rPr>
    </w:sdtEndPr>
    <w:sdtContent>
      <w:p w14:paraId="3EBE24B6" w14:textId="6BFFC798" w:rsidR="005E1C64" w:rsidRDefault="005E1C64">
        <w:pPr>
          <w:pStyle w:val="Footer"/>
          <w:jc w:val="center"/>
        </w:pPr>
        <w:r>
          <w:fldChar w:fldCharType="begin"/>
        </w:r>
        <w:r>
          <w:instrText xml:space="preserve"> PAGE   \* MERGEFORMAT </w:instrText>
        </w:r>
        <w:r>
          <w:fldChar w:fldCharType="separate"/>
        </w:r>
        <w:r w:rsidR="004D6681">
          <w:rPr>
            <w:noProof/>
          </w:rPr>
          <w:t>1</w:t>
        </w:r>
        <w:r>
          <w:rPr>
            <w:noProof/>
          </w:rPr>
          <w:fldChar w:fldCharType="end"/>
        </w:r>
      </w:p>
    </w:sdtContent>
  </w:sdt>
  <w:p w14:paraId="23BC10EC" w14:textId="77777777" w:rsidR="005E1C64" w:rsidRDefault="005E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3C49" w14:textId="77777777" w:rsidR="00AB2B87" w:rsidRDefault="00AB2B87" w:rsidP="005E1C64">
      <w:pPr>
        <w:spacing w:after="0" w:line="240" w:lineRule="auto"/>
      </w:pPr>
      <w:r>
        <w:separator/>
      </w:r>
    </w:p>
  </w:footnote>
  <w:footnote w:type="continuationSeparator" w:id="0">
    <w:p w14:paraId="4824C925" w14:textId="77777777" w:rsidR="00AB2B87" w:rsidRDefault="00AB2B87" w:rsidP="005E1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44"/>
    <w:rsid w:val="000075A6"/>
    <w:rsid w:val="000134A8"/>
    <w:rsid w:val="000A6016"/>
    <w:rsid w:val="000D7233"/>
    <w:rsid w:val="001066EA"/>
    <w:rsid w:val="00153194"/>
    <w:rsid w:val="00180ADA"/>
    <w:rsid w:val="001B06C5"/>
    <w:rsid w:val="001B2052"/>
    <w:rsid w:val="001F0541"/>
    <w:rsid w:val="001F5119"/>
    <w:rsid w:val="0020345E"/>
    <w:rsid w:val="00236A44"/>
    <w:rsid w:val="002C4B3F"/>
    <w:rsid w:val="003362B3"/>
    <w:rsid w:val="00361B25"/>
    <w:rsid w:val="003B6622"/>
    <w:rsid w:val="003C51B6"/>
    <w:rsid w:val="003D57C8"/>
    <w:rsid w:val="004D43E0"/>
    <w:rsid w:val="004D6681"/>
    <w:rsid w:val="004E7E65"/>
    <w:rsid w:val="004F2FD5"/>
    <w:rsid w:val="00515AEC"/>
    <w:rsid w:val="005917FB"/>
    <w:rsid w:val="005E1C64"/>
    <w:rsid w:val="006034E2"/>
    <w:rsid w:val="0064287C"/>
    <w:rsid w:val="00686A58"/>
    <w:rsid w:val="006870F9"/>
    <w:rsid w:val="0069367B"/>
    <w:rsid w:val="006B6FE8"/>
    <w:rsid w:val="006D39FC"/>
    <w:rsid w:val="00703222"/>
    <w:rsid w:val="0072578C"/>
    <w:rsid w:val="00726300"/>
    <w:rsid w:val="00732EAE"/>
    <w:rsid w:val="00755BBE"/>
    <w:rsid w:val="00772943"/>
    <w:rsid w:val="007915E3"/>
    <w:rsid w:val="007D48D2"/>
    <w:rsid w:val="00820849"/>
    <w:rsid w:val="00854D35"/>
    <w:rsid w:val="008573A9"/>
    <w:rsid w:val="008931BE"/>
    <w:rsid w:val="008A2AB5"/>
    <w:rsid w:val="009516E7"/>
    <w:rsid w:val="0096099C"/>
    <w:rsid w:val="00980BF7"/>
    <w:rsid w:val="009A3432"/>
    <w:rsid w:val="00AB2B87"/>
    <w:rsid w:val="00AE6FD0"/>
    <w:rsid w:val="00B112FF"/>
    <w:rsid w:val="00BC2440"/>
    <w:rsid w:val="00BF2F7F"/>
    <w:rsid w:val="00BF7A45"/>
    <w:rsid w:val="00C17990"/>
    <w:rsid w:val="00C70038"/>
    <w:rsid w:val="00C75AB3"/>
    <w:rsid w:val="00D617A3"/>
    <w:rsid w:val="00D61D58"/>
    <w:rsid w:val="00DB2F44"/>
    <w:rsid w:val="00E62062"/>
    <w:rsid w:val="00E700F5"/>
    <w:rsid w:val="00EE138A"/>
    <w:rsid w:val="00F0006C"/>
    <w:rsid w:val="00F219AF"/>
    <w:rsid w:val="00F36AAB"/>
    <w:rsid w:val="00F8500F"/>
    <w:rsid w:val="00FD1751"/>
    <w:rsid w:val="00FD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72BD"/>
  <w15:chartTrackingRefBased/>
  <w15:docId w15:val="{AD3E65AE-BD7B-45EA-BF52-42674A14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6A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3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19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B66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6A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43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19A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1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64"/>
  </w:style>
  <w:style w:type="paragraph" w:styleId="Footer">
    <w:name w:val="footer"/>
    <w:basedOn w:val="Normal"/>
    <w:link w:val="FooterChar"/>
    <w:uiPriority w:val="99"/>
    <w:unhideWhenUsed/>
    <w:rsid w:val="005E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C64"/>
  </w:style>
  <w:style w:type="character" w:customStyle="1" w:styleId="Heading5Char">
    <w:name w:val="Heading 5 Char"/>
    <w:basedOn w:val="DefaultParagraphFont"/>
    <w:link w:val="Heading5"/>
    <w:uiPriority w:val="9"/>
    <w:rsid w:val="003B662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Tasmin Fletcher</dc:creator>
  <cp:keywords/>
  <dc:description/>
  <cp:lastModifiedBy>John Hodgson</cp:lastModifiedBy>
  <cp:revision>2</cp:revision>
  <dcterms:created xsi:type="dcterms:W3CDTF">2021-02-18T16:20:00Z</dcterms:created>
  <dcterms:modified xsi:type="dcterms:W3CDTF">2021-02-18T16:20:00Z</dcterms:modified>
</cp:coreProperties>
</file>